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3104"/>
        <w:gridCol w:w="5386"/>
        <w:gridCol w:w="1848"/>
      </w:tblGrid>
      <w:tr w:rsidRPr="00F9765D" w:rsidR="00A23F48" w:rsidTr="640C1987" w14:paraId="30920A1D" w14:textId="77777777">
        <w:trPr>
          <w:trHeight w:val="1955"/>
        </w:trPr>
        <w:tc>
          <w:tcPr>
            <w:tcW w:w="310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C01C9F" w:rsidR="009A6A5B" w:rsidP="009A6A5B" w:rsidRDefault="009A6A5B" w14:paraId="757809B9" w14:textId="2525B89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1C9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Number:</w:t>
            </w: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 xml:space="preserve"> Place value and number, </w:t>
            </w:r>
            <w:proofErr w:type="gramStart"/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Applying</w:t>
            </w:r>
            <w:proofErr w:type="gramEnd"/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 xml:space="preserve"> four operations, Working with percentages, Rounding and standard form, Factors, multiples and </w:t>
            </w:r>
            <w:r w:rsidR="000A6840">
              <w:rPr>
                <w:rFonts w:cstheme="minorHAnsi"/>
                <w:color w:val="000000" w:themeColor="text1"/>
                <w:sz w:val="20"/>
                <w:szCs w:val="20"/>
              </w:rPr>
              <w:t>listing strategies.</w:t>
            </w:r>
          </w:p>
        </w:tc>
        <w:tc>
          <w:tcPr>
            <w:tcW w:w="5386" w:type="dxa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DE4D31" w:rsidR="00DE4D31" w:rsidP="0D45623D" w:rsidRDefault="00D94516" w14:paraId="4C75361B" w14:textId="100C751F">
            <w:pPr>
              <w:rPr>
                <w:rFonts w:cs="Calibri" w:cstheme="minorAscii"/>
                <w:color w:val="000000" w:themeColor="text1"/>
                <w:sz w:val="20"/>
                <w:szCs w:val="20"/>
              </w:rPr>
            </w:pPr>
            <w:r w:rsidRPr="0D45623D" w:rsidR="00D94516">
              <w:rPr>
                <w:rFonts w:cs="Calibri" w:cstheme="minorAscii"/>
                <w:sz w:val="20"/>
                <w:szCs w:val="20"/>
              </w:rPr>
              <w:t xml:space="preserve">Students </w:t>
            </w:r>
            <w:r w:rsidRPr="0D45623D" w:rsidR="00D94516">
              <w:rPr>
                <w:rFonts w:cs="Calibri" w:cstheme="minorAscii"/>
                <w:sz w:val="20"/>
                <w:szCs w:val="20"/>
              </w:rPr>
              <w:t>consolidate their numerical and mathematical capability from key stage 3 and extend their understanding of the number system to include powers</w:t>
            </w:r>
            <w:r w:rsidRPr="0D45623D" w:rsidR="00D94516">
              <w:rPr>
                <w:rFonts w:cs="Calibri" w:cstheme="minorAscii"/>
                <w:sz w:val="20"/>
                <w:szCs w:val="20"/>
              </w:rPr>
              <w:t xml:space="preserve"> and</w:t>
            </w:r>
            <w:r w:rsidRPr="0D45623D" w:rsidR="00D94516">
              <w:rPr>
                <w:rFonts w:cs="Calibri" w:cstheme="minorAscii"/>
                <w:sz w:val="20"/>
                <w:szCs w:val="20"/>
              </w:rPr>
              <w:t xml:space="preserve"> roots</w:t>
            </w:r>
            <w:r w:rsidRPr="0D45623D" w:rsidR="00D94516">
              <w:rPr>
                <w:rFonts w:cs="Calibri" w:cstheme="minorAscii"/>
                <w:sz w:val="20"/>
                <w:szCs w:val="20"/>
              </w:rPr>
              <w:t>.</w:t>
            </w:r>
            <w:r w:rsidRPr="0D45623D" w:rsidR="00C678BF">
              <w:rPr>
                <w:rFonts w:cs="Calibri" w:cstheme="minorAscii"/>
                <w:sz w:val="20"/>
                <w:szCs w:val="20"/>
              </w:rPr>
              <w:t xml:space="preserve"> Students develop their ability to s</w:t>
            </w:r>
            <w:r w:rsidRPr="0D45623D" w:rsidR="00C678BF">
              <w:rPr>
                <w:rFonts w:cs="Calibri" w:cstheme="minorAscii"/>
                <w:sz w:val="20"/>
                <w:szCs w:val="20"/>
              </w:rPr>
              <w:t xml:space="preserve">elect and use appropriate calculation strategies to solve increasingly complex problems, including exact calculations involving </w:t>
            </w:r>
            <w:r w:rsidRPr="0D45623D" w:rsidR="00C678BF">
              <w:rPr>
                <w:rFonts w:cs="Calibri" w:cstheme="minorAscii"/>
                <w:sz w:val="20"/>
                <w:szCs w:val="20"/>
              </w:rPr>
              <w:t>the</w:t>
            </w:r>
            <w:r w:rsidRPr="0D45623D" w:rsidR="00C678BF">
              <w:rPr>
                <w:rFonts w:cs="Calibri" w:cstheme="minorAscii"/>
                <w:sz w:val="20"/>
                <w:szCs w:val="20"/>
              </w:rPr>
              <w:t xml:space="preserve"> use of standard form</w:t>
            </w:r>
            <w:r w:rsidRPr="0D45623D" w:rsidR="00DE4D31">
              <w:rPr>
                <w:rFonts w:cs="Calibri" w:cstheme="minorAscii"/>
                <w:sz w:val="20"/>
                <w:szCs w:val="20"/>
              </w:rPr>
              <w:t xml:space="preserve">. Students begin </w:t>
            </w:r>
            <w:r w:rsidRPr="0D45623D" w:rsidR="00DE4D31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0D45623D" w:rsidR="00DE4D31">
              <w:rPr>
                <w:rFonts w:cs="Calibri" w:cstheme="minorAscii"/>
                <w:sz w:val="20"/>
                <w:szCs w:val="20"/>
              </w:rPr>
              <w:t>assess</w:t>
            </w:r>
            <w:r w:rsidRPr="0D45623D" w:rsidR="00DE4D31">
              <w:rPr>
                <w:rFonts w:cs="Calibri" w:cstheme="minorAscii"/>
                <w:sz w:val="20"/>
                <w:szCs w:val="20"/>
              </w:rPr>
              <w:t xml:space="preserve"> the validity of an argument and the accuracy of a given way of presenting information</w:t>
            </w:r>
            <w:r w:rsidRPr="0D45623D" w:rsidR="00DE4D31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0D45623D" w:rsidR="00DE4D31">
              <w:rPr>
                <w:rFonts w:cs="Calibri" w:cstheme="minorAscii"/>
                <w:sz w:val="20"/>
                <w:szCs w:val="20"/>
              </w:rPr>
              <w:t xml:space="preserve">through the </w:t>
            </w:r>
            <w:r w:rsidRPr="0D45623D" w:rsidR="00C678BF">
              <w:rPr>
                <w:rFonts w:cs="Calibri" w:cstheme="minorAscii"/>
                <w:sz w:val="20"/>
                <w:szCs w:val="20"/>
              </w:rPr>
              <w:t xml:space="preserve">application and interpretation of limits of </w:t>
            </w:r>
            <w:r w:rsidRPr="0D45623D" w:rsidR="00C678BF">
              <w:rPr>
                <w:rFonts w:cs="Calibri" w:cstheme="minorAscii"/>
                <w:sz w:val="20"/>
                <w:szCs w:val="20"/>
              </w:rPr>
              <w:t xml:space="preserve">accuracy. </w:t>
            </w:r>
            <w:r w:rsidRPr="0D45623D" w:rsidR="00D94516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Pupils </w:t>
            </w:r>
            <w:r w:rsidRPr="0D45623D" w:rsidR="00C678BF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also</w:t>
            </w:r>
            <w:r w:rsidRPr="0D45623D" w:rsidR="00D94516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 explore the ways to enter and interpret numbers in standard form on a scientific calculator.</w:t>
            </w:r>
          </w:p>
        </w:tc>
        <w:tc>
          <w:tcPr>
            <w:tcW w:w="1848" w:type="dxa"/>
            <w:vMerge w:val="restart"/>
            <w:shd w:val="clear" w:color="auto" w:fill="FFEFFF"/>
            <w:tcMar/>
          </w:tcPr>
          <w:p w:rsidRPr="00F9765D" w:rsidR="008E39B4" w:rsidP="00FE54CF" w:rsidRDefault="008E39B4" w14:paraId="47A991E2" w14:textId="7376B83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C01C9F" w:rsidP="00FE54CF" w:rsidRDefault="00C01C9F" w14:paraId="337594FD" w14:textId="2525EA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Place Value</w:t>
            </w:r>
          </w:p>
          <w:p w:rsidR="00C807AB" w:rsidP="00FE54CF" w:rsidRDefault="00C807AB" w14:paraId="492EA2AA" w14:textId="0C7B63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Positive/Negative</w:t>
            </w:r>
          </w:p>
          <w:p w:rsidR="00C807AB" w:rsidP="00FE54CF" w:rsidRDefault="00C807AB" w14:paraId="0D75FC65" w14:textId="6CC608B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Integer</w:t>
            </w:r>
          </w:p>
          <w:p w:rsidR="00C807AB" w:rsidP="00C807AB" w:rsidRDefault="00C807AB" w14:paraId="7ACC4415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Improper fraction</w:t>
            </w:r>
          </w:p>
          <w:p w:rsidR="00C807AB" w:rsidP="00C807AB" w:rsidRDefault="00C807AB" w14:paraId="095CD4AA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Proper fraction</w:t>
            </w:r>
          </w:p>
          <w:p w:rsidR="00C807AB" w:rsidP="00C807AB" w:rsidRDefault="00C807AB" w14:paraId="49573B20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Mixed number</w:t>
            </w:r>
          </w:p>
          <w:p w:rsidR="00C807AB" w:rsidP="00FE54CF" w:rsidRDefault="00C807AB" w14:paraId="5124F96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Decimal</w:t>
            </w:r>
          </w:p>
          <w:p w:rsidR="00C807AB" w:rsidP="00FE54CF" w:rsidRDefault="00C807AB" w14:paraId="63E32B15" w14:textId="0BF85AB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Reoccurring</w:t>
            </w:r>
          </w:p>
          <w:p w:rsidR="00C807AB" w:rsidP="00FE54CF" w:rsidRDefault="00C807AB" w14:paraId="0422E6C8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Terminating</w:t>
            </w:r>
          </w:p>
          <w:p w:rsidR="00C807AB" w:rsidP="00FE54CF" w:rsidRDefault="00C807AB" w14:paraId="67DA3789" w14:textId="3991761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Product</w:t>
            </w:r>
          </w:p>
          <w:p w:rsidR="00C807AB" w:rsidP="00FE54CF" w:rsidRDefault="00C807AB" w14:paraId="1C6BF260" w14:textId="51BDBE6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Estimation</w:t>
            </w:r>
          </w:p>
          <w:p w:rsidR="00C807AB" w:rsidP="00FE54CF" w:rsidRDefault="00C807AB" w14:paraId="773F5D85" w14:textId="65591C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Approximation</w:t>
            </w:r>
          </w:p>
          <w:p w:rsidR="00C807AB" w:rsidP="00FE54CF" w:rsidRDefault="00C807AB" w14:paraId="3FE3BC56" w14:textId="2B7FFF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Significant figures</w:t>
            </w:r>
          </w:p>
          <w:p w:rsidR="00C807AB" w:rsidP="00FE54CF" w:rsidRDefault="00C807AB" w14:paraId="687B3BE7" w14:textId="298F38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Decimal place</w:t>
            </w:r>
          </w:p>
          <w:p w:rsidR="00C807AB" w:rsidP="00FE54CF" w:rsidRDefault="00C807AB" w14:paraId="767BDC3D" w14:textId="652389C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Percentage</w:t>
            </w:r>
          </w:p>
          <w:p w:rsidR="00C807AB" w:rsidP="00FE54CF" w:rsidRDefault="00C807AB" w14:paraId="1F6A29FB" w14:textId="396AE9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Percentage change</w:t>
            </w:r>
          </w:p>
          <w:p w:rsidR="00C807AB" w:rsidP="00FE54CF" w:rsidRDefault="00C807AB" w14:paraId="5C333C5A" w14:textId="5C945E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Reverse percentage</w:t>
            </w:r>
          </w:p>
          <w:p w:rsidR="00C807AB" w:rsidP="00FE54CF" w:rsidRDefault="00C807AB" w14:paraId="42FBFCB9" w14:textId="1A5BC4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Upper bound</w:t>
            </w:r>
          </w:p>
          <w:p w:rsidR="00C807AB" w:rsidP="00FE54CF" w:rsidRDefault="00C807AB" w14:paraId="4D7C43F7" w14:textId="0723019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Lower bound</w:t>
            </w:r>
          </w:p>
          <w:p w:rsidR="00C807AB" w:rsidP="00FE54CF" w:rsidRDefault="00C807AB" w14:paraId="189E77AE" w14:textId="1261FF4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Limits of accuracy</w:t>
            </w:r>
          </w:p>
          <w:p w:rsidR="00C01C9F" w:rsidP="00FE54CF" w:rsidRDefault="00C01C9F" w14:paraId="21AE4F02" w14:textId="066EE88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rime numbers</w:t>
            </w:r>
          </w:p>
          <w:p w:rsidR="00C01C9F" w:rsidP="00FE54CF" w:rsidRDefault="00C01C9F" w14:paraId="772CEC90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</w:t>
            </w: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 xml:space="preserve">actors (divisors),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M</w:t>
            </w: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ultiples</w:t>
            </w:r>
          </w:p>
          <w:p w:rsidR="00C01C9F" w:rsidP="00FE54CF" w:rsidRDefault="00C01C9F" w14:paraId="210CA245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</w:t>
            </w: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ighest common factor</w:t>
            </w:r>
          </w:p>
          <w:p w:rsidR="00C01C9F" w:rsidP="00FE54CF" w:rsidRDefault="00C01C9F" w14:paraId="0EC1CAE4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</w:t>
            </w: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owest common multiple</w:t>
            </w:r>
          </w:p>
          <w:p w:rsidR="00C01C9F" w:rsidP="00FE54CF" w:rsidRDefault="00C01C9F" w14:paraId="71B19216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 xml:space="preserve">rime factorisation </w:t>
            </w:r>
          </w:p>
          <w:p w:rsidR="008E39B4" w:rsidP="00FE54CF" w:rsidRDefault="00C01C9F" w14:paraId="7C25F38F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</w:t>
            </w: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nique factorisation theorem</w:t>
            </w:r>
          </w:p>
          <w:p w:rsidRPr="00811F13" w:rsidR="001D7E2A" w:rsidP="00FE54CF" w:rsidRDefault="001D7E2A" w14:paraId="49147324" w14:textId="11A9C80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Product rul</w:t>
            </w:r>
            <w:r w:rsidR="00F618EB"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</w:p>
        </w:tc>
      </w:tr>
      <w:tr w:rsidRPr="00F9765D" w:rsidR="008E39B4" w:rsidTr="640C1987" w14:paraId="70713B32" w14:textId="77777777">
        <w:trPr>
          <w:trHeight w:val="3639"/>
        </w:trPr>
        <w:tc>
          <w:tcPr>
            <w:tcW w:w="8490" w:type="dxa"/>
            <w:gridSpan w:val="2"/>
            <w:shd w:val="clear" w:color="auto" w:fill="FFEFFF"/>
            <w:tcMar/>
          </w:tcPr>
          <w:p w:rsidRPr="00F9765D" w:rsidR="008E39B4" w:rsidP="00FE54CF" w:rsidRDefault="008E39B4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C01C9F" w:rsidR="008E39B4" w:rsidP="00C01C9F" w:rsidRDefault="00C01C9F" w14:paraId="53D5B79E" w14:textId="57D7467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1C9F">
              <w:rPr>
                <w:rFonts w:eastAsia="Times New Roman" w:cstheme="minorHAnsi"/>
                <w:color w:val="4B4B4B"/>
                <w:sz w:val="20"/>
                <w:szCs w:val="20"/>
                <w:lang w:eastAsia="en-GB"/>
              </w:rPr>
              <w:t>Order positive and negative integers.</w:t>
            </w:r>
          </w:p>
          <w:p w:rsidRPr="00C01C9F" w:rsidR="00C01C9F" w:rsidP="00C01C9F" w:rsidRDefault="00C01C9F" w14:paraId="78B7D11E" w14:textId="36B84F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Use the symbols =, ≠, &lt;, &gt;, ≤, ≥</w:t>
            </w:r>
            <w:r w:rsidR="00C807A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Pr="00C01C9F" w:rsidR="00C01C9F" w:rsidP="00C01C9F" w:rsidRDefault="00C01C9F" w14:paraId="4B69521A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1C9F">
              <w:rPr>
                <w:rFonts w:eastAsia="Times New Roman" w:cstheme="minorHAnsi"/>
                <w:color w:val="4B4B4B"/>
                <w:sz w:val="20"/>
                <w:szCs w:val="20"/>
                <w:lang w:eastAsia="en-GB"/>
              </w:rPr>
              <w:t>Calculate exactly with fractions.</w:t>
            </w:r>
          </w:p>
          <w:p w:rsidR="00C01C9F" w:rsidP="00C01C9F" w:rsidRDefault="00C01C9F" w14:paraId="1FA51298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Work interchangeably with terminati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ng decimals and their corresponding fractions.</w:t>
            </w:r>
          </w:p>
          <w:p w:rsidR="00C01C9F" w:rsidP="00C01C9F" w:rsidRDefault="00C01C9F" w14:paraId="4FDBB73E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Change recurring decimals into their corresponding fractions and vice versa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="00C01C9F" w:rsidP="00C01C9F" w:rsidRDefault="00C01C9F" w14:paraId="06ED3C2D" w14:textId="4271776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Apply the four operations, including formal written methods, to integers, decimals and simple fractions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and mixed numbers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="00C01C9F" w:rsidP="00C01C9F" w:rsidRDefault="00C01C9F" w14:paraId="02AFE6DA" w14:textId="7233DC7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Estimate answers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Check calculations using approximation and estimation, including answers obtained using technology.</w:t>
            </w:r>
          </w:p>
          <w:p w:rsidRPr="00C01C9F" w:rsidR="00C01C9F" w:rsidP="00C01C9F" w:rsidRDefault="00C01C9F" w14:paraId="56E1FE02" w14:textId="344C03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Interpret percentages and percentage changes as a fraction or decimal and interpret these multiplicatively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 xml:space="preserve"> Work with percentages greater than 100%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Pr="00C01C9F" w:rsidR="00C01C9F" w:rsidP="00C01C9F" w:rsidRDefault="00C01C9F" w14:paraId="76585344" w14:textId="633397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Express one quantity as a percentage of another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Compare two quantities using percentages.</w:t>
            </w:r>
          </w:p>
          <w:p w:rsidR="00C01C9F" w:rsidP="00C01C9F" w:rsidRDefault="00C01C9F" w14:paraId="0E53C608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Interpret fractions and percentages as operators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Pr="00C01C9F" w:rsidR="00C01C9F" w:rsidP="00C01C9F" w:rsidRDefault="00C01C9F" w14:paraId="4F3BEFE5" w14:textId="65786DD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Round numbers and measures to an appropriate degree of accuracy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="00C01C9F" w:rsidP="00C01C9F" w:rsidRDefault="00C01C9F" w14:paraId="6437B28C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Use inequality notation to specify simple error intervals due to truncation or rounding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Pr="00C01C9F" w:rsidR="00C01C9F" w:rsidP="00C01C9F" w:rsidRDefault="00C01C9F" w14:paraId="496F0885" w14:textId="36E97EF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Apply and interpret limits of accuracy including upper and lower bounds</w:t>
            </w:r>
            <w:r w:rsidR="00C807A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Pr="00C01C9F" w:rsidR="00C01C9F" w:rsidP="00C01C9F" w:rsidRDefault="00C01C9F" w14:paraId="6DFFD1D8" w14:textId="19FEE1D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Calculate with and interpret standard form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:rsidR="00C01C9F" w:rsidP="00C807AB" w:rsidRDefault="00C01C9F" w14:paraId="25B4BFA7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1C9F">
              <w:rPr>
                <w:rFonts w:cstheme="minorHAnsi"/>
                <w:color w:val="000000" w:themeColor="text1"/>
                <w:sz w:val="20"/>
                <w:szCs w:val="20"/>
              </w:rPr>
              <w:t>Use the concepts of prime numbers, factors (divisors), multiples, common factors, common multiples, highest common factor, lowest common multiple, prime factorisation, including using product notation, and the unique factorisation theorem</w:t>
            </w:r>
            <w:r w:rsidR="00C807A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Pr="00C807AB" w:rsidR="00C807AB" w:rsidP="00C807AB" w:rsidRDefault="00C807AB" w14:paraId="704CD9BE" w14:textId="74778DF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</w:t>
            </w:r>
            <w:r w:rsidRPr="00C807AB">
              <w:rPr>
                <w:rFonts w:cstheme="minorHAnsi"/>
                <w:color w:val="000000" w:themeColor="text1"/>
                <w:sz w:val="20"/>
                <w:szCs w:val="20"/>
              </w:rPr>
              <w:t>se of the product rule for counting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8" w:type="dxa"/>
            <w:vMerge/>
            <w:tcMar/>
          </w:tcPr>
          <w:p w:rsidRPr="00F9765D" w:rsidR="008E39B4" w:rsidP="00FE54CF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640C1987" w14:paraId="41DD1A54" w14:textId="77777777">
        <w:trPr>
          <w:trHeight w:val="396"/>
        </w:trPr>
        <w:tc>
          <w:tcPr>
            <w:tcW w:w="8490" w:type="dxa"/>
            <w:gridSpan w:val="2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F618EB" w:rsidP="00F618EB" w:rsidRDefault="00F618EB" w14:paraId="0E513792" w14:textId="77189F15">
            <w:pPr>
              <w:pStyle w:val="Default"/>
              <w:rPr>
                <w:sz w:val="20"/>
                <w:szCs w:val="20"/>
              </w:rPr>
            </w:pPr>
            <w:bookmarkStart w:name="_Hlk105408454" w:id="0"/>
            <w:r w:rsidRPr="0D45623D" w:rsidR="00F618EB">
              <w:rPr>
                <w:b w:val="1"/>
                <w:bCs w:val="1"/>
                <w:sz w:val="20"/>
                <w:szCs w:val="20"/>
              </w:rPr>
              <w:t xml:space="preserve">Dr Frost Maths </w:t>
            </w:r>
            <w:r w:rsidRPr="0D45623D" w:rsidR="00F618EB">
              <w:rPr>
                <w:sz w:val="20"/>
                <w:szCs w:val="20"/>
              </w:rPr>
              <w:t xml:space="preserve">is the primary resource that we use for </w:t>
            </w:r>
            <w:proofErr w:type="spellStart"/>
            <w:r w:rsidRPr="0D45623D" w:rsidR="00F618EB">
              <w:rPr>
                <w:sz w:val="20"/>
                <w:szCs w:val="20"/>
              </w:rPr>
              <w:t>homestudies</w:t>
            </w:r>
            <w:proofErr w:type="spellEnd"/>
            <w:r w:rsidRPr="0D45623D" w:rsidR="00F618EB">
              <w:rPr>
                <w:sz w:val="20"/>
                <w:szCs w:val="20"/>
              </w:rPr>
              <w:t xml:space="preserve"> and it has lots of useful revision tools. Alongside this, you can search for a specific topic and you can either practise some questions </w:t>
            </w:r>
            <w:r w:rsidRPr="0D45623D" w:rsidR="00F618EB">
              <w:rPr>
                <w:sz w:val="20"/>
                <w:szCs w:val="20"/>
              </w:rPr>
              <w:t>online or</w:t>
            </w:r>
            <w:r w:rsidRPr="0D45623D" w:rsidR="00F618EB">
              <w:rPr>
                <w:sz w:val="20"/>
                <w:szCs w:val="20"/>
              </w:rPr>
              <w:t xml:space="preserve"> watch a video. Under the resources section, there is also a “Full Coverage” document for some topics that have a huge bank of exam questions on the topic in question</w:t>
            </w:r>
            <w:r w:rsidRPr="0D45623D" w:rsidR="0030410F">
              <w:rPr>
                <w:sz w:val="20"/>
                <w:szCs w:val="20"/>
              </w:rPr>
              <w:t>.</w:t>
            </w:r>
            <w:r w:rsidRPr="0D45623D" w:rsidR="00F618EB">
              <w:rPr>
                <w:sz w:val="20"/>
                <w:szCs w:val="20"/>
              </w:rPr>
              <w:t xml:space="preserve"> </w:t>
            </w:r>
          </w:p>
          <w:p w:rsidR="00F618EB" w:rsidP="00F618EB" w:rsidRDefault="00EF388D" w14:paraId="5CCD9B6D" w14:textId="627BD8EF">
            <w:pPr>
              <w:pStyle w:val="Default"/>
              <w:rPr>
                <w:sz w:val="20"/>
                <w:szCs w:val="20"/>
              </w:rPr>
            </w:pPr>
            <w:hyperlink w:history="1" r:id="rId10">
              <w:r w:rsidR="00F618EB">
                <w:rPr>
                  <w:rStyle w:val="Hyperlink"/>
                  <w:sz w:val="20"/>
                  <w:szCs w:val="20"/>
                </w:rPr>
                <w:t>https://www.drfrostmaths.com/course.php?sid=-10</w:t>
              </w:r>
            </w:hyperlink>
            <w:r w:rsidR="00F618EB">
              <w:rPr>
                <w:sz w:val="20"/>
                <w:szCs w:val="20"/>
              </w:rPr>
              <w:t xml:space="preserve"> </w:t>
            </w:r>
          </w:p>
          <w:p w:rsidR="00F618EB" w:rsidP="00F618EB" w:rsidRDefault="00F618EB" w14:paraId="443E3E89" w14:textId="77777777">
            <w:pPr>
              <w:pStyle w:val="Default"/>
              <w:rPr>
                <w:sz w:val="20"/>
                <w:szCs w:val="20"/>
              </w:rPr>
            </w:pPr>
          </w:p>
          <w:p w:rsidR="00F618EB" w:rsidP="00F618EB" w:rsidRDefault="00F618EB" w14:paraId="56D09810" w14:textId="35AECD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Corbett Maths </w:t>
            </w:r>
            <w:r w:rsidR="00987B9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video links</w:t>
            </w:r>
            <w:r w:rsidR="00987B9D">
              <w:rPr>
                <w:sz w:val="20"/>
                <w:szCs w:val="20"/>
              </w:rPr>
              <w:t>, p</w:t>
            </w:r>
            <w:r>
              <w:rPr>
                <w:sz w:val="20"/>
                <w:szCs w:val="20"/>
              </w:rPr>
              <w:t xml:space="preserve">ractice </w:t>
            </w:r>
            <w:r w:rsidR="00987B9D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 xml:space="preserve">uestions and </w:t>
            </w:r>
            <w:r w:rsidR="0030410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extbook </w:t>
            </w:r>
            <w:r w:rsidR="0030410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xercises</w:t>
            </w:r>
            <w:r w:rsidR="0030410F">
              <w:rPr>
                <w:sz w:val="20"/>
                <w:szCs w:val="20"/>
              </w:rPr>
              <w:t xml:space="preserve"> with </w:t>
            </w:r>
            <w:r>
              <w:rPr>
                <w:sz w:val="20"/>
                <w:szCs w:val="20"/>
              </w:rPr>
              <w:t xml:space="preserve">answers available. </w:t>
            </w:r>
          </w:p>
          <w:p w:rsidR="00F618EB" w:rsidP="00F618EB" w:rsidRDefault="00EF388D" w14:paraId="1B667422" w14:textId="4DAA9642">
            <w:pPr>
              <w:pStyle w:val="Default"/>
              <w:rPr>
                <w:sz w:val="20"/>
                <w:szCs w:val="20"/>
              </w:rPr>
            </w:pPr>
            <w:hyperlink w:history="1" r:id="rId11">
              <w:r w:rsidR="00F618EB">
                <w:rPr>
                  <w:rStyle w:val="Hyperlink"/>
                  <w:sz w:val="20"/>
                  <w:szCs w:val="20"/>
                </w:rPr>
                <w:t>https://corbettmaths.com/contents/</w:t>
              </w:r>
            </w:hyperlink>
            <w:r w:rsidR="00F618EB">
              <w:rPr>
                <w:sz w:val="20"/>
                <w:szCs w:val="20"/>
              </w:rPr>
              <w:t xml:space="preserve"> </w:t>
            </w:r>
          </w:p>
          <w:p w:rsidR="00B0405A" w:rsidP="00F618EB" w:rsidRDefault="00B0405A" w14:paraId="24534256" w14:textId="77777777">
            <w:pPr>
              <w:pStyle w:val="Default"/>
              <w:rPr>
                <w:sz w:val="20"/>
                <w:szCs w:val="20"/>
              </w:rPr>
            </w:pPr>
          </w:p>
          <w:p w:rsidR="00F618EB" w:rsidP="00F618EB" w:rsidRDefault="00F618EB" w14:paraId="4481F96B" w14:textId="78D38C3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MathsGenie</w:t>
            </w:r>
            <w:proofErr w:type="spellEnd"/>
            <w:r w:rsidR="0030410F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videos and exam questions along with worked solutions</w:t>
            </w:r>
            <w:r w:rsidR="0030410F">
              <w:rPr>
                <w:sz w:val="20"/>
                <w:szCs w:val="20"/>
              </w:rPr>
              <w:t>.</w:t>
            </w:r>
          </w:p>
          <w:p w:rsidR="00F618EB" w:rsidP="00F618EB" w:rsidRDefault="00EF388D" w14:paraId="494A5922" w14:textId="77777777">
            <w:hyperlink r:id="R8db594e361354f8c">
              <w:r w:rsidRPr="4F166AAB" w:rsidR="00F618EB">
                <w:rPr>
                  <w:rStyle w:val="Hyperlink"/>
                  <w:sz w:val="20"/>
                  <w:szCs w:val="20"/>
                </w:rPr>
                <w:t>https://www.mathsgenie.co.uk/advance-information.html</w:t>
              </w:r>
            </w:hyperlink>
          </w:p>
          <w:bookmarkEnd w:id="0"/>
          <w:p w:rsidR="4F166AAB" w:rsidP="4F166AAB" w:rsidRDefault="4F166AAB" w14:paraId="419893EE" w14:textId="0D8018E4">
            <w:pPr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Pr="00811F13" w:rsidR="00F618EB" w:rsidP="640C1987" w:rsidRDefault="00280578" w14:paraId="482013F3" w14:textId="02E18F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40C1987" w:rsidR="640C1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Investigating different number systems.</w:t>
            </w:r>
          </w:p>
          <w:p w:rsidRPr="00811F13" w:rsidR="00F618EB" w:rsidP="640C1987" w:rsidRDefault="00280578" w14:paraId="5B9EC4F5" w14:textId="6B4EA3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40C1987" w:rsidR="640C1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Limits of accuracy in building.</w:t>
            </w:r>
          </w:p>
          <w:p w:rsidRPr="00811F13" w:rsidR="00F618EB" w:rsidP="640C1987" w:rsidRDefault="00280578" w14:paraId="30BAE8C2" w14:textId="21B6AE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40C1987" w:rsidR="640C1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The scale for the universe (standard form) </w:t>
            </w:r>
            <w:hyperlink r:id="R1e170c6bd1a143ba">
              <w:r w:rsidRPr="640C1987" w:rsidR="640C1987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GB"/>
                </w:rPr>
                <w:t>https://htwins.net/scale2/</w:t>
              </w:r>
            </w:hyperlink>
          </w:p>
          <w:p w:rsidRPr="00811F13" w:rsidR="00F618EB" w:rsidP="640C1987" w:rsidRDefault="00280578" w14:paraId="5E1C775F" w14:textId="57E338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811F13" w:rsidR="00F618EB" w:rsidP="640C1987" w:rsidRDefault="00280578" w14:paraId="6B68F81F" w14:textId="12434A6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40C1987" w:rsidR="640C19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>Careers Link</w:t>
            </w:r>
          </w:p>
          <w:p w:rsidRPr="00811F13" w:rsidR="00F618EB" w:rsidP="640C1987" w:rsidRDefault="00280578" w14:paraId="789B54A0" w14:textId="09D9459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40C1987" w:rsidR="640C1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Finance – interest values, election numbers, house prices, loans, car valuations</w:t>
            </w:r>
          </w:p>
          <w:p w:rsidRPr="00811F13" w:rsidR="00F618EB" w:rsidP="640C1987" w:rsidRDefault="00280578" w14:paraId="001E2D6F" w14:textId="75318C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0"/>
                <w:szCs w:val="20"/>
                <w:lang w:val="en-GB"/>
              </w:rPr>
            </w:pPr>
            <w:r w:rsidRPr="640C1987" w:rsidR="640C1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Accountant.</w:t>
            </w:r>
          </w:p>
        </w:tc>
        <w:tc>
          <w:tcPr>
            <w:tcW w:w="184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640C1987" w14:paraId="08B85AF4" w14:textId="77777777">
        <w:trPr>
          <w:trHeight w:val="538"/>
        </w:trPr>
        <w:tc>
          <w:tcPr>
            <w:tcW w:w="8490" w:type="dxa"/>
            <w:gridSpan w:val="2"/>
            <w:shd w:val="clear" w:color="auto" w:fill="FFEFFF"/>
            <w:tcMar/>
          </w:tcPr>
          <w:p w:rsidR="00811F13" w:rsidP="00FE54CF" w:rsidRDefault="008E39B4" w14:paraId="5AA3A0AB" w14:textId="65B1DDF4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</w:t>
            </w:r>
            <w:r w:rsidR="001D7E2A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?</w:t>
            </w:r>
          </w:p>
          <w:p w:rsidRPr="00822541" w:rsidR="001D7E2A" w:rsidP="0D45623D" w:rsidRDefault="001D7E2A" w14:paraId="739CC5AF" w14:textId="74BEB1CB">
            <w:pPr>
              <w:rPr>
                <w:rFonts w:cs="Calibri" w:cstheme="minorAscii"/>
                <w:color w:val="000000" w:themeColor="text1"/>
                <w:sz w:val="20"/>
                <w:szCs w:val="20"/>
              </w:rPr>
            </w:pPr>
            <w:r w:rsidRPr="0D45623D" w:rsidR="001D7E2A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Half Term</w:t>
            </w:r>
            <w:r w:rsidRPr="0D45623D" w:rsidR="001D7E2A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 assessments.</w:t>
            </w:r>
          </w:p>
          <w:p w:rsidRPr="00822541" w:rsidR="00811F13" w:rsidP="00FE54CF" w:rsidRDefault="00822541" w14:paraId="6A0A3668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22541">
              <w:rPr>
                <w:rFonts w:cstheme="minorHAnsi"/>
                <w:color w:val="000000" w:themeColor="text1"/>
                <w:sz w:val="20"/>
                <w:szCs w:val="20"/>
              </w:rPr>
              <w:t>Homestudy</w:t>
            </w:r>
            <w:proofErr w:type="spellEnd"/>
            <w:r w:rsidRPr="00822541">
              <w:rPr>
                <w:rFonts w:cstheme="minorHAnsi"/>
                <w:color w:val="000000" w:themeColor="text1"/>
                <w:sz w:val="20"/>
                <w:szCs w:val="20"/>
              </w:rPr>
              <w:t xml:space="preserve"> tasks </w:t>
            </w:r>
          </w:p>
          <w:p w:rsidRPr="00822541" w:rsidR="00822541" w:rsidP="00FE54CF" w:rsidRDefault="00822541" w14:paraId="7C953E82" w14:textId="6B86ED7B">
            <w:pPr>
              <w:rPr>
                <w:rFonts w:cstheme="minorHAnsi"/>
                <w:sz w:val="20"/>
                <w:szCs w:val="20"/>
              </w:rPr>
            </w:pPr>
            <w:r w:rsidRPr="00822541">
              <w:rPr>
                <w:rFonts w:cstheme="minorHAnsi"/>
                <w:color w:val="000000" w:themeColor="text1"/>
                <w:sz w:val="20"/>
                <w:szCs w:val="20"/>
              </w:rPr>
              <w:t>Quality of classwork</w:t>
            </w:r>
          </w:p>
        </w:tc>
        <w:tc>
          <w:tcPr>
            <w:tcW w:w="184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EF388D" w14:paraId="42B3A29B" w14:textId="49864984"/>
    <w:sectPr w:rsidR="0053445E" w:rsidSect="00A23F48">
      <w:headerReference w:type="default" r:id="rId14"/>
      <w:footerReference w:type="default" r:id="rId15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388D" w:rsidP="00017B74" w:rsidRDefault="00EF388D" w14:paraId="6BC781E5" w14:textId="77777777">
      <w:pPr>
        <w:spacing w:after="0" w:line="240" w:lineRule="auto"/>
      </w:pPr>
      <w:r>
        <w:separator/>
      </w:r>
    </w:p>
  </w:endnote>
  <w:endnote w:type="continuationSeparator" w:id="0">
    <w:p w:rsidR="00EF388D" w:rsidP="00017B74" w:rsidRDefault="00EF388D" w14:paraId="293C75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388D" w:rsidP="00017B74" w:rsidRDefault="00EF388D" w14:paraId="3A0A924D" w14:textId="77777777">
      <w:pPr>
        <w:spacing w:after="0" w:line="240" w:lineRule="auto"/>
      </w:pPr>
      <w:r>
        <w:separator/>
      </w:r>
    </w:p>
  </w:footnote>
  <w:footnote w:type="continuationSeparator" w:id="0">
    <w:p w:rsidR="00EF388D" w:rsidP="00017B74" w:rsidRDefault="00EF388D" w14:paraId="60C4EB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748CE6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9D">
      <w:t xml:space="preserve">           </w:t>
    </w:r>
    <w:r w:rsidR="009A6A5B">
      <w:t xml:space="preserve">                                           Year 9 Higher </w:t>
    </w:r>
    <w:r w:rsidR="00A65FC4">
      <w:t>Unit</w:t>
    </w:r>
    <w:r w:rsidR="009A6A5B"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5C6D79D5"/>
    <w:multiLevelType w:val="hybridMultilevel"/>
    <w:tmpl w:val="4316F4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A6840"/>
    <w:rsid w:val="0012209F"/>
    <w:rsid w:val="001D7E2A"/>
    <w:rsid w:val="00280578"/>
    <w:rsid w:val="002B0167"/>
    <w:rsid w:val="0030410F"/>
    <w:rsid w:val="003E6B6F"/>
    <w:rsid w:val="00440E6C"/>
    <w:rsid w:val="00487E07"/>
    <w:rsid w:val="005F4E99"/>
    <w:rsid w:val="007146EF"/>
    <w:rsid w:val="007B2687"/>
    <w:rsid w:val="00811F13"/>
    <w:rsid w:val="00822541"/>
    <w:rsid w:val="0083335D"/>
    <w:rsid w:val="00847F4E"/>
    <w:rsid w:val="00867D25"/>
    <w:rsid w:val="008B1952"/>
    <w:rsid w:val="008E39B4"/>
    <w:rsid w:val="00987B9D"/>
    <w:rsid w:val="009A6A5B"/>
    <w:rsid w:val="00A23F48"/>
    <w:rsid w:val="00A314F1"/>
    <w:rsid w:val="00A65FC4"/>
    <w:rsid w:val="00AA0CD0"/>
    <w:rsid w:val="00B0405A"/>
    <w:rsid w:val="00BA646E"/>
    <w:rsid w:val="00C01C9F"/>
    <w:rsid w:val="00C678BF"/>
    <w:rsid w:val="00C807AB"/>
    <w:rsid w:val="00CA59AB"/>
    <w:rsid w:val="00D5602F"/>
    <w:rsid w:val="00D94516"/>
    <w:rsid w:val="00DB0006"/>
    <w:rsid w:val="00DC23A5"/>
    <w:rsid w:val="00DE4D31"/>
    <w:rsid w:val="00E5371A"/>
    <w:rsid w:val="00EF388D"/>
    <w:rsid w:val="00F43D58"/>
    <w:rsid w:val="00F618EB"/>
    <w:rsid w:val="00F9765D"/>
    <w:rsid w:val="00FA14D4"/>
    <w:rsid w:val="00FB7D5A"/>
    <w:rsid w:val="00FE1C68"/>
    <w:rsid w:val="0D45623D"/>
    <w:rsid w:val="4F166AAB"/>
    <w:rsid w:val="532A838F"/>
    <w:rsid w:val="640C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F618EB"/>
    <w:rPr>
      <w:color w:val="605E5C"/>
      <w:shd w:val="clear" w:color="auto" w:fill="E1DFDD"/>
    </w:rPr>
  </w:style>
  <w:style w:type="paragraph" w:styleId="Default" w:customStyle="1">
    <w:name w:val="Default"/>
    <w:basedOn w:val="Normal"/>
    <w:rsid w:val="00F618EB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orbettmaths.com/contents/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www.drfrostmaths.com/course.php?sid=-10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www.mathsgenie.co.uk/advance-information.html" TargetMode="External" Id="R8db594e361354f8c" /><Relationship Type="http://schemas.openxmlformats.org/officeDocument/2006/relationships/hyperlink" Target="https://htwins.net/scale2/" TargetMode="External" Id="R1e170c6bd1a143b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2" ma:contentTypeDescription="Create a new document." ma:contentTypeScope="" ma:versionID="040f7b4071eacbcd28c961fa11b758de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a1d68c3861e60eaa60961c2a8485703f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4CF176-D5FE-47BC-B238-30FE1258B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5c5-59da-4330-a2f5-0034e38126d5"/>
    <ds:schemaRef ds:uri="354dc7f6-5177-429f-9880-9353dbeac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SCooper</lastModifiedBy>
  <revision>18</revision>
  <dcterms:created xsi:type="dcterms:W3CDTF">2022-06-06T09:40:00.0000000Z</dcterms:created>
  <dcterms:modified xsi:type="dcterms:W3CDTF">2022-06-20T13:50:45.2989508Z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